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68637466430664" w:lineRule="auto"/>
        <w:ind w:left="43.699951171875" w:right="63.9208984375" w:hanging="43.699951171875"/>
        <w:jc w:val="left"/>
        <w:rPr>
          <w:rFonts w:ascii="Gill Sans" w:cs="Gill Sans" w:eastAsia="Gill Sans" w:hAnsi="Gill Sans"/>
          <w:b w:val="1"/>
          <w:color w:val="ff9900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68637466430664" w:lineRule="auto"/>
        <w:ind w:left="43.699951171875" w:right="63.9208984375" w:hanging="43.699951171875"/>
        <w:jc w:val="left"/>
        <w:rPr>
          <w:rFonts w:ascii="Gill Sans" w:cs="Gill Sans" w:eastAsia="Gill Sans" w:hAnsi="Gill Sans"/>
          <w:b w:val="1"/>
          <w:color w:val="ff9900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.68637466430664" w:lineRule="auto"/>
        <w:ind w:left="43.699951171875" w:right="63.9208984375" w:hanging="43.699951171875"/>
        <w:jc w:val="center"/>
        <w:rPr>
          <w:rFonts w:ascii="Gill Sans" w:cs="Gill Sans" w:eastAsia="Gill Sans" w:hAnsi="Gill Sans"/>
          <w:b w:val="1"/>
          <w:i w:val="0"/>
          <w:smallCaps w:val="0"/>
          <w:strike w:val="0"/>
          <w:color w:val="ff99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ff9900"/>
          <w:sz w:val="44"/>
          <w:szCs w:val="44"/>
          <w:highlight w:val="whit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5426388</wp:posOffset>
            </wp:positionH>
            <wp:positionV relativeFrom="page">
              <wp:posOffset>-9525</wp:posOffset>
            </wp:positionV>
            <wp:extent cx="2126937" cy="3667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6937" cy="366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ff9900"/>
          <w:sz w:val="44"/>
          <w:szCs w:val="44"/>
          <w:highlight w:val="white"/>
          <w:u w:val="none"/>
          <w:vertAlign w:val="baseline"/>
          <w:rtl w:val="0"/>
        </w:rPr>
        <w:t xml:space="preserve">Postures professionnelles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ff99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97900390625" w:line="240" w:lineRule="auto"/>
        <w:ind w:left="23.499908447265625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sz w:val="38"/>
          <w:szCs w:val="38"/>
          <w:highlight w:val="white"/>
          <w:u w:val="single"/>
          <w:vertAlign w:val="baseline"/>
          <w:rtl w:val="0"/>
        </w:rPr>
        <w:t xml:space="preserve">Construire une posture professionnelle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621337890625" w:line="243.29134941101074" w:lineRule="auto"/>
        <w:ind w:left="15.679931640625" w:right="-6.2402343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La problématique de la posture professionnelle montre la nécessité de ne pas en rester à un agir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implicite que certains professionnels mobiliseraient tandis que d’autres se cantonneraient à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intervention type. Selon Demailly (2008), la rationalisation du travail relationnel qui suppose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clarification des positionnements des acteurs constitue un travail « intime autrefois laissé à la liberté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 chacun ». Pour le dire autrement, la posture constituerait un savoir de l’action, que les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professionnels conscients des enjeux de l’interaction avec l’usager, construiraient de façon à garantir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la situation de conseil auprès du bénéficiaire. La posture impliquerait un travail sur soi, selon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démarche analytique qui croiserait les intentions et les actes. Ce travail conduirait non seulement à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reconnaître la manière d’agir avec autrui mais aussi les effets de cet agir auprès d’autrui.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71875" w:line="243.60654830932617" w:lineRule="auto"/>
        <w:ind w:left="15.679931640625" w:right="-7.419433593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Dans le champ de la formation, les travaux de recherche sur la construction de postures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professionnelles ont mis en évidence un système interne d’attitudes dans la situation donnée dans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le contexte de la formation des formateurs en insertion (Mulin, 2014), une disposition psychique et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corporelle pour les formateurs accompagnateurs d’équipes d’enseignants (Charlier &amp; Biemar, 2012),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un positionnement physique et symbolique de l’enseignant dans la relation pédagogique dans le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contexte des nouvelles technologies (Lameul, 2006), une intention en acte pour la formation des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évaluateurs dans le champ de l’éducation et de la formation (Jorro, 1998, 1999, 2011).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346435546875" w:line="243.07734489440918" w:lineRule="auto"/>
        <w:ind w:left="15.679931640625" w:right="-6.92016601562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Le fait d’agir avec une intention particulière relèverait d’une posture construite en vue de réaliser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une activité. Lorsque l’acteur adopte une posture, il a fait sienne une conception précise, une manière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d’agir et de se positionner dans l’espace social. La posture montre un engagement de l’acteur dans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l’activité effectuée. Pour Ardoino (1990), dans certains cas, l’engagement peut être entaché de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duplicité et de ce fait relever d’une imposture. La confusion entre les postures relèverait d’un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brouillage devant autrui et devant soi. Comme le fait de travailler sur la posture permet de clarifier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son intention d’agir, le professionnel choisit dans son répertoire d’actions des manières de faire en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congruence avec l’intention conscientisée.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631591796875" w:line="243.7756061553955" w:lineRule="auto"/>
        <w:ind w:left="15.679931640625" w:right="-6.979980468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La posture renvoie non seulement à une dimension psychique, une intention, mais également à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dimension physique. Ces deux dimensions sont en quelque sorte synthétisées par le professionnel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au moment où il agit. Comme manifestation d’une intentionnalité auprès d’autrui dans un contexte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donné, la posture implique la prise en compte de la corporéité dans l’activité. Le fait d’adopter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posture plutôt qu’une autre relève de l’existence d’un rapport au monde spécifique ; ce rapport au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monde étant constitutif de la manière adoptée par le praticien engagé dans une interaction. Dans la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situation de conseil, la posture du conseiller est perçue par l’usager, elle exprime une manière d’être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et de faire qui est en quelque sorte décodée et interprétée.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3074951171875" w:line="243.40879440307617" w:lineRule="auto"/>
        <w:ind w:left="15.8599853515625" w:right="-6.820068359375" w:firstLine="8.280029296875"/>
        <w:jc w:val="left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Les approches de la phénoménologie herméneutique nous semblent pertinentes pour saisir la part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 la corporéité du professionnel dans la situation de conseil. La posture dévoile une manière de se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situer dans un contexte professionnel où l’interaction avec l’usager est forte. Le philosophe Merleau Ponty (1945, 1960) conceptualise le corps comme ouverture originaire au monde. Il est donc possible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 penser que la posture installe une relation à autrui. Le sujet agissant appréhende ce qui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l’environne non pas comme un simple fait objectivable, mais comme un phénomène qui traverse son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existence et qu’il investit subjectivement : « Tout usage humain du corps est déjà une expression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primordiale » (Merleau-Ponty, 1960, p. 108). La posture du conseiller peut avoir un effet incitatif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dans la relation de confiance qui s’établit ; elle peut également interdire la construction d’une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interaction constructive pour les deux interlocuteurs.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38348388671875" w:line="243.37489128112793" w:lineRule="auto"/>
        <w:ind w:left="15.679931640625" w:right="-6.999511718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Le concept de posture prend du sens dans une conception interactionniste de la situation de conseil.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Si l’interaction entre deux protagonistes consiste en un processus dynamique de perception,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d’interprétation et d’adaptation réciproque, on voit à quel point la posture professionnelle du conseil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 des incidences sur le développement de la situation de conseil et sur la qualité du dialogue qui sera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initié par le conseiller. Selon Goffman (1974), la présentation de soi dans l’interaction sociale permet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57782554626465" w:lineRule="auto"/>
        <w:ind w:left="16.039886474609375" w:right="-7.159423828125" w:hanging="16.039886474609375"/>
        <w:jc w:val="both"/>
        <w:rPr>
          <w:rFonts w:ascii="Gill Sans" w:cs="Gill Sans" w:eastAsia="Gill Sans" w:hAnsi="Gill Sans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.57782554626465" w:lineRule="auto"/>
        <w:ind w:left="16.039886474609375" w:right="-7.159423828125" w:hanging="16.03988647460937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 préserver la face. Les jeux de reconnaissance de soi et d’autrui nourrissent l’interaction si bien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que la posture « ouverte » du conseiller puisse susciter une mise en confiance qui se traduira par un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dialogue constructif.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2880859375" w:line="243.1409740447998" w:lineRule="auto"/>
        <w:ind w:left="15.679931640625" w:right="-7.800292968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La posture professionnelle en tant qu’« expression primordiale » est mise en œuvre à travers des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actes que nous conceptualisons en termes de gestes professionnels. Le geste est donc une unité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d’analyse de l’agir professionnel qui introduit l’idée d’un mouvement du corps, adressé et donc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orienté vers autrui tout autant que vers soi. Le concept de geste s’inscrit dans des approches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anthropologique, philosophique (Merleau-Ponty, 1960), historique et tend à concevoir le corps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comme « le plus naturel » instrument de l’homme dans ses activités quotidiennes (Mauss, 1950).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Les recherches en anthropologie historique de Gebauer et Wulf (2004) mettent en évidence la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puissance performative du geste qui produit sur autrui un effet.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84228515625" w:line="242.7637767791748" w:lineRule="auto"/>
        <w:ind w:left="15.679931640625" w:right="-5.08056640625" w:firstLine="0.899963378906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Ces différentes approches théoriques contribuent à comprendre l’activité professionnelle du conseiller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qui cherche à structurer et à organiser la relation de conseil en invitant le bénéficiaire à la prise de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parole et à la réflexion sur son parcours professionnel. Les gestes professionnels du conseiller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peuvent être conçus comme des mouvements du corps adressés, engageant les deux interlocuteurs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dans une activité d’analyse de l’expérience professionnelle de l’usager. Penser l’activité du conseiller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avec les gestes professionnels offre un grain d’analyse encore plus précis puisque le geste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professionnel constitue un indicateur de la compétence (qui relève d’une inférence). Le geste peut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être identifié, analysé dans son registre opératoire, celui du mouvement et dans son registre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symbolique avec le sens qui s’en échappe et qui conduit à une interprétation.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6865234375" w:line="242.86571502685547" w:lineRule="auto"/>
        <w:ind w:left="16.039886474609375" w:right="-7.919921875" w:hanging="7.20001220703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Alin (2010), travaillant sur l’agir professionnel des formateurs, le désigne comme un micro-acte.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Dans la situation de conseil, Jorro (2016) a identifié des gestes de cadrage qui inaugurent la relation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 conseil, établissent une explicitation de la démarche de travail et donnent des repères au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bénéficiaire du conseil.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190673828125" w:line="240" w:lineRule="auto"/>
        <w:ind w:left="154.119873046875" w:right="0" w:firstLine="0"/>
        <w:jc w:val="left"/>
        <w:rPr>
          <w:rFonts w:ascii="Gill Sans" w:cs="Gill Sans" w:eastAsia="Gill Sans" w:hAnsi="Gill Sans"/>
          <w:b w:val="1"/>
          <w:i w:val="0"/>
          <w:smallCaps w:val="0"/>
          <w:strike w:val="0"/>
          <w:color w:val="aa4637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sz w:val="38"/>
          <w:szCs w:val="38"/>
          <w:u w:val="single"/>
          <w:shd w:fill="auto" w:val="clear"/>
          <w:vertAlign w:val="baseline"/>
          <w:rtl w:val="0"/>
        </w:rPr>
        <w:t xml:space="preserve">Postures professionnelles en jeu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aa4637"/>
          <w:sz w:val="38"/>
          <w:szCs w:val="3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22021484375" w:line="240" w:lineRule="auto"/>
        <w:ind w:left="35.89996337890625" w:right="0" w:firstLine="0"/>
        <w:jc w:val="left"/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single"/>
          <w:shd w:fill="auto" w:val="clear"/>
          <w:vertAlign w:val="baseline"/>
          <w:rtl w:val="0"/>
        </w:rPr>
        <w:t xml:space="preserve">Posture d’accueil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8995361328125" w:line="243.1955909729004" w:lineRule="auto"/>
        <w:ind w:left="15.679931640625" w:right="-5.3991699218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Elle revient à organiser la situation d’entretien de sorte que le bénéficiaire comprenne le cadre dans 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quel il est accueilli, dispose de repères relatifs à la démarche du conseil en insertion professionnelle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et comprenne le contexte de l’interaction. Le conseiller garantit le cadre de l’entretien et renvoie un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message de réassurance au bénéficiaire ; la manière de se présenter devant autrui constituant un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message de disponibilité ou pas. Durant l’accueil, le geste de cadrage constitue un geste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professionnel important, car il installe la possibilité d’une alliance de travail (Guillon, 2013) dès les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premiers temps de la rencontre. Le fait d’organiser les places respectives de chacun et d’aménager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l’espace de travail pour mener à bien l’entretien renvoie au souci d’installer une situation propice à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l’échange, à préserver la face de chacun (Goffman, 1974) en définissant la démarche qui sera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conduite. Durant cette phase d’accueil, le conseiller veille à recevoir la demande de l’usager en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cherchant à valoriser sa démarche. Le geste de reconnaissance de l’usager dans sa démarche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importe.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5433349609375" w:line="240" w:lineRule="auto"/>
        <w:ind w:left="35.89996337890625" w:right="0" w:firstLine="0"/>
        <w:jc w:val="left"/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single"/>
          <w:shd w:fill="auto" w:val="clear"/>
          <w:vertAlign w:val="baseline"/>
          <w:rtl w:val="0"/>
        </w:rPr>
        <w:t xml:space="preserve">Posture d’écoute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30023193359375" w:line="243.0773162841797" w:lineRule="auto"/>
        <w:ind w:left="15.679931640625" w:right="-7.83935546875" w:firstLine="8.460083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L’attention portée à la parole du bénéficiaire permet au conseiller de comprendre le parcours 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professionnel de ce dernier sur une temporalité donnée. L’expérience est ainsi prise en compte. Le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conseiller mobilise deux gestes professionnels dans cette situation. Il peut initier un geste de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questionnement qui permet de caractériser la nature de l’expérience du bénéficiaire afin de repérer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des potentialités d’évolution professionnelle. Il peut relancer le bénéficiaire afin qu’il précise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activité et qu’il détermine son niveau d’autonomie. Dans certains cas, lorsque le conseiller perçoit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une réflexion irréaliste, il peut interpeller le bénéficiaire avec le geste de problématisation, lequel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sollicite le point de vue du praticien sur les décalages entre son expérience et le projet anticipé.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13223266601562" w:line="244.34666633605957" w:lineRule="auto"/>
        <w:ind w:left="22.87994384765625" w:right="-5.679931640625" w:firstLine="1.260070800781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La posture d’écoute n’est pas simplement une posture « docile », elle implique un art de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la </w:t>
      </w:r>
      <w:r w:rsidDel="00000000" w:rsidR="00000000" w:rsidRPr="00000000">
        <w:rPr>
          <w:rFonts w:ascii="Gill Sans" w:cs="Gill Sans" w:eastAsia="Gill Sans" w:hAnsi="Gill Sans"/>
          <w:i w:val="1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parezzia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(Foucault, 2009) qui apostrophe le bénéficiaire en réinterrogeant les idées préconçues,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les décisions prématurées. Cette éthique de la vérité est toujours délicate à tenir devant un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9.51740741729736" w:lineRule="auto"/>
        <w:ind w:left="15.679931640625" w:right="-5.13916015625" w:hanging="15.67993164062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interlocuteur et le geste de problématisation n’est pas sans risque. L’usager peut ne pas entendre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l’interpellation, se situer dans le déni. La posture d’écoute suppose une lecture critique de la situation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ainsi qu’une lecture bienveillante et exigeante (Jorro, 2016). Le conseiller tente de solliciter une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réflexion distanciée impliquant des processus d’auto- et de co-évaluation afin que l’usager repère ses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points d’appui et entrevoit également des pistes d’action. Des gestes de valorisation et d’ajustement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sont mobilisés par le conseiller dans cette posture.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038818359375" w:line="240" w:lineRule="auto"/>
        <w:ind w:left="35.89996337890625" w:right="0" w:firstLine="0"/>
        <w:jc w:val="left"/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single"/>
          <w:shd w:fill="auto" w:val="clear"/>
          <w:vertAlign w:val="baseline"/>
          <w:rtl w:val="0"/>
        </w:rPr>
        <w:t xml:space="preserve">Posture de médiation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aa4637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300537109375" w:line="242.8659152984619" w:lineRule="auto"/>
        <w:ind w:left="15.8599853515625" w:right="-6.76025390625" w:firstLine="0.7199096679687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C’est une posture marquée par la volonté de faire lien : lien avec des ressources, lien avec des 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personnes-ressources qui pourraient être utiles pour l’élaboration du projet du bénéficiaire. Le geste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de traduction permet la mise à disposition d’informations difficiles d’accès ; les représentations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erronées à propos d’un secteur d’activité sont ainsi levées par le conseiller. C’est aussi une posture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qui permet de soutenir les efforts accomplis par le praticien et de valoriser l’engagement du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bénéficiaire dans ses démarches. La médiation implique également un geste de contractualisation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qui souligne l’aboutissement d’une démarche et valide le projet auprès du bénéficiaire.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79052734375" w:line="244.7900104522705" w:lineRule="auto"/>
        <w:ind w:left="16.039886474609375" w:right="1.800537109375" w:firstLine="0.540008544921875"/>
        <w:jc w:val="left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Ces trois postures mettent en évidence le caractère composite de l’activité du conseiller. Les postures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d’accueil et d’écoute ont été identifiées par les conseillers pour chaque situation analysée.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47412109375" w:line="243.2914924621582" w:lineRule="auto"/>
        <w:ind w:left="15.679931640625" w:right="-8.00048828125" w:firstLine="2.519989013671875"/>
        <w:jc w:val="both"/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Soulignons que ces trois postures apparaissent déterminantes pour le chercheur : elles apparaissent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au fur et à mesure du développement de la situation de conseil. Par ailleurs, les analyses ont permis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aux conseillers d’identifier des actes précis, avec les gestes de cadrage, de questionnement et de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highlight w:val="white"/>
          <w:u w:val="none"/>
          <w:vertAlign w:val="baseline"/>
          <w:rtl w:val="0"/>
        </w:rPr>
        <w:t xml:space="preserve">problématisation parce qu’ils ont le sentiment de mobiliser ces gestes. Cependant, la mobilisation </w:t>
      </w:r>
      <w:r w:rsidDel="00000000" w:rsidR="00000000" w:rsidRPr="00000000">
        <w:rPr>
          <w:rFonts w:ascii="Gill Sans" w:cs="Gill Sans" w:eastAsia="Gill Sans" w:hAnsi="Gill Sans"/>
          <w:i w:val="0"/>
          <w:smallCaps w:val="0"/>
          <w:strike w:val="0"/>
          <w:color w:val="333333"/>
          <w:u w:val="none"/>
          <w:shd w:fill="auto" w:val="clear"/>
          <w:vertAlign w:val="baseline"/>
          <w:rtl w:val="0"/>
        </w:rPr>
        <w:t xml:space="preserve"> opportune de ces gestes constitue un enjeu de professionnalisation.</w:t>
      </w:r>
    </w:p>
    <w:sectPr>
      <w:pgSz w:h="16820" w:w="11900" w:orient="portrait"/>
      <w:pgMar w:bottom="1520.4998779296875" w:top="179.998779296875" w:left="1410" w:right="1354.079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